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DC99D" w14:textId="77EDFAF7" w:rsidR="00A15B32" w:rsidRPr="0001074D" w:rsidRDefault="00B55BB5" w:rsidP="00B55BB5">
      <w:pPr>
        <w:jc w:val="center"/>
        <w:rPr>
          <w:rFonts w:cstheme="minorHAnsi"/>
          <w:b/>
          <w:bCs/>
        </w:rPr>
      </w:pPr>
      <w:r w:rsidRPr="0001074D">
        <w:rPr>
          <w:rFonts w:cstheme="minorHAnsi"/>
          <w:b/>
          <w:bCs/>
        </w:rPr>
        <w:t xml:space="preserve">Obrazloženje potrebe usvajanja </w:t>
      </w:r>
      <w:r w:rsidR="00441E79">
        <w:rPr>
          <w:rFonts w:cstheme="minorHAnsi"/>
          <w:b/>
          <w:bCs/>
        </w:rPr>
        <w:t>f</w:t>
      </w:r>
      <w:r w:rsidRPr="0001074D">
        <w:rPr>
          <w:rFonts w:cstheme="minorHAnsi"/>
          <w:b/>
          <w:bCs/>
        </w:rPr>
        <w:t xml:space="preserve">inancijskih planova i izmjene istih nakon donošenja </w:t>
      </w:r>
      <w:r w:rsidR="00441E79">
        <w:rPr>
          <w:rFonts w:cstheme="minorHAnsi"/>
          <w:b/>
          <w:bCs/>
        </w:rPr>
        <w:t>p</w:t>
      </w:r>
      <w:r w:rsidRPr="0001074D">
        <w:rPr>
          <w:rFonts w:cstheme="minorHAnsi"/>
          <w:b/>
          <w:bCs/>
        </w:rPr>
        <w:t>roračuna i izmjene istoga</w:t>
      </w:r>
    </w:p>
    <w:p w14:paraId="7EC8AE25" w14:textId="77777777" w:rsidR="00B55BB5" w:rsidRPr="0001074D" w:rsidRDefault="00B55BB5" w:rsidP="00B55BB5">
      <w:pPr>
        <w:jc w:val="center"/>
        <w:rPr>
          <w:rFonts w:cstheme="minorHAnsi"/>
        </w:rPr>
      </w:pPr>
    </w:p>
    <w:p w14:paraId="43F5ADE2" w14:textId="4BCE5143" w:rsidR="00B55BB5" w:rsidRPr="0001074D" w:rsidRDefault="00B55BB5" w:rsidP="0001074D">
      <w:pPr>
        <w:pStyle w:val="StandardWeb"/>
        <w:spacing w:before="0" w:beforeAutospacing="0" w:after="135" w:afterAutospacing="0" w:line="276" w:lineRule="auto"/>
        <w:jc w:val="both"/>
        <w:rPr>
          <w:rFonts w:asciiTheme="minorHAnsi" w:hAnsiTheme="minorHAnsi" w:cstheme="minorHAnsi"/>
          <w:sz w:val="22"/>
          <w:szCs w:val="22"/>
        </w:rPr>
      </w:pPr>
      <w:r w:rsidRPr="0001074D">
        <w:rPr>
          <w:rFonts w:asciiTheme="minorHAnsi" w:hAnsiTheme="minorHAnsi" w:cstheme="minorHAnsi"/>
          <w:sz w:val="22"/>
          <w:szCs w:val="22"/>
        </w:rPr>
        <w:t xml:space="preserve">Sukladno Zakonu o proračunu, članak 38., stavka 6. i 7., </w:t>
      </w:r>
      <w:r w:rsidR="00441E79">
        <w:rPr>
          <w:rFonts w:asciiTheme="minorHAnsi" w:hAnsiTheme="minorHAnsi" w:cstheme="minorHAnsi"/>
          <w:sz w:val="22"/>
          <w:szCs w:val="22"/>
        </w:rPr>
        <w:t>k</w:t>
      </w:r>
      <w:r w:rsidRPr="0001074D">
        <w:rPr>
          <w:rFonts w:asciiTheme="minorHAnsi" w:hAnsiTheme="minorHAnsi" w:cstheme="minorHAnsi"/>
          <w:sz w:val="22"/>
          <w:szCs w:val="22"/>
        </w:rPr>
        <w:t>ad postoje razlike u financijskom planu proračunskog korisnika sadržanom u proračunu koji je donio Sabor odnosno predstavničko tijelo u odnosu na već usvojeni prijedlog financijskog plana od strane upravljačkog tijela, ministarstvo ili drugo državno tijelo na razini razdjela organizacijske klasifikacije odnosno upravno tijelo dužno je obavijestiti proračunskog korisnika iz svoje nadležnosti o promjenama u odnosu na usvojeni prijedlog financijskog plana.</w:t>
      </w:r>
    </w:p>
    <w:p w14:paraId="53E69D72" w14:textId="755F8116" w:rsidR="00B55BB5" w:rsidRPr="0001074D" w:rsidRDefault="00B55BB5" w:rsidP="0001074D">
      <w:pPr>
        <w:pStyle w:val="StandardWeb"/>
        <w:spacing w:before="0" w:beforeAutospacing="0" w:after="135" w:afterAutospacing="0" w:line="276" w:lineRule="auto"/>
        <w:jc w:val="both"/>
        <w:rPr>
          <w:rFonts w:asciiTheme="minorHAnsi" w:hAnsiTheme="minorHAnsi" w:cstheme="minorHAnsi"/>
          <w:sz w:val="22"/>
          <w:szCs w:val="22"/>
        </w:rPr>
      </w:pPr>
      <w:r w:rsidRPr="0001074D">
        <w:rPr>
          <w:rFonts w:asciiTheme="minorHAnsi" w:hAnsiTheme="minorHAnsi" w:cstheme="minorHAnsi"/>
          <w:sz w:val="22"/>
          <w:szCs w:val="22"/>
        </w:rPr>
        <w:t xml:space="preserve">U slučaju </w:t>
      </w:r>
      <w:r w:rsidR="00441E79">
        <w:rPr>
          <w:rFonts w:asciiTheme="minorHAnsi" w:hAnsiTheme="minorHAnsi" w:cstheme="minorHAnsi"/>
          <w:sz w:val="22"/>
          <w:szCs w:val="22"/>
        </w:rPr>
        <w:t>prethodno navedenog,</w:t>
      </w:r>
      <w:r w:rsidRPr="0001074D">
        <w:rPr>
          <w:rFonts w:asciiTheme="minorHAnsi" w:hAnsiTheme="minorHAnsi" w:cstheme="minorHAnsi"/>
          <w:sz w:val="22"/>
          <w:szCs w:val="22"/>
        </w:rPr>
        <w:t xml:space="preserve"> upravljačko tijelo usvaja financijski plan koji je sadržan u proračunu koji je donio Sabor odnosno predstavničko tijelo.</w:t>
      </w:r>
    </w:p>
    <w:p w14:paraId="4B2DA5D1" w14:textId="5D1ED1B0" w:rsidR="00B55BB5" w:rsidRDefault="00441E79" w:rsidP="0001074D">
      <w:pPr>
        <w:pStyle w:val="StandardWeb"/>
        <w:spacing w:before="0" w:beforeAutospacing="0" w:after="135" w:afterAutospacing="0" w:line="276" w:lineRule="auto"/>
        <w:jc w:val="both"/>
        <w:rPr>
          <w:rFonts w:asciiTheme="minorHAnsi" w:hAnsiTheme="minorHAnsi" w:cstheme="minorHAnsi"/>
          <w:sz w:val="22"/>
          <w:szCs w:val="22"/>
        </w:rPr>
      </w:pPr>
      <w:r>
        <w:rPr>
          <w:rFonts w:asciiTheme="minorHAnsi" w:hAnsiTheme="minorHAnsi" w:cstheme="minorHAnsi"/>
          <w:sz w:val="22"/>
          <w:szCs w:val="22"/>
        </w:rPr>
        <w:t>Iz istog proizlazi</w:t>
      </w:r>
      <w:r w:rsidR="00B55BB5" w:rsidRPr="0001074D">
        <w:rPr>
          <w:rFonts w:asciiTheme="minorHAnsi" w:hAnsiTheme="minorHAnsi" w:cstheme="minorHAnsi"/>
          <w:sz w:val="22"/>
          <w:szCs w:val="22"/>
        </w:rPr>
        <w:t xml:space="preserve">, u slučaju kada nema razlika u proračunu, u odnosu na usvojeni prijedlog, nije potrebno ponovno usvajati </w:t>
      </w:r>
      <w:r>
        <w:rPr>
          <w:rFonts w:asciiTheme="minorHAnsi" w:hAnsiTheme="minorHAnsi" w:cstheme="minorHAnsi"/>
          <w:sz w:val="22"/>
          <w:szCs w:val="22"/>
        </w:rPr>
        <w:t xml:space="preserve">financijski </w:t>
      </w:r>
      <w:r w:rsidR="00B55BB5" w:rsidRPr="0001074D">
        <w:rPr>
          <w:rFonts w:asciiTheme="minorHAnsi" w:hAnsiTheme="minorHAnsi" w:cstheme="minorHAnsi"/>
          <w:sz w:val="22"/>
          <w:szCs w:val="22"/>
        </w:rPr>
        <w:t>plan već datumom usvajanja proračuna, smatra se da je prijedlog financijskog plana postao konačan.</w:t>
      </w:r>
      <w:r w:rsidR="00B208A6">
        <w:rPr>
          <w:rFonts w:asciiTheme="minorHAnsi" w:hAnsiTheme="minorHAnsi" w:cstheme="minorHAnsi"/>
          <w:sz w:val="22"/>
          <w:szCs w:val="22"/>
        </w:rPr>
        <w:t xml:space="preserve"> Od datuma usvajanja, računa se 30 dana za donošenje plana nabave.</w:t>
      </w:r>
    </w:p>
    <w:p w14:paraId="5701B063" w14:textId="77777777" w:rsidR="00441E79" w:rsidRPr="0001074D" w:rsidRDefault="00441E79" w:rsidP="0001074D">
      <w:pPr>
        <w:pStyle w:val="StandardWeb"/>
        <w:spacing w:before="0" w:beforeAutospacing="0" w:after="135" w:afterAutospacing="0" w:line="276" w:lineRule="auto"/>
        <w:jc w:val="both"/>
        <w:rPr>
          <w:rFonts w:asciiTheme="minorHAnsi" w:hAnsiTheme="minorHAnsi" w:cstheme="minorHAnsi"/>
          <w:sz w:val="22"/>
          <w:szCs w:val="22"/>
        </w:rPr>
      </w:pPr>
    </w:p>
    <w:p w14:paraId="5F7B7A24" w14:textId="24C309FE" w:rsidR="00B55BB5" w:rsidRPr="00B208A6" w:rsidRDefault="00B55BB5" w:rsidP="0001074D">
      <w:pPr>
        <w:pStyle w:val="StandardWeb"/>
        <w:spacing w:before="0" w:beforeAutospacing="0" w:after="135" w:afterAutospacing="0" w:line="276" w:lineRule="auto"/>
        <w:jc w:val="both"/>
        <w:rPr>
          <w:rFonts w:asciiTheme="minorHAnsi" w:hAnsiTheme="minorHAnsi" w:cstheme="minorHAnsi"/>
          <w:sz w:val="22"/>
          <w:szCs w:val="22"/>
          <w:u w:val="single"/>
        </w:rPr>
      </w:pPr>
      <w:r w:rsidRPr="0001074D">
        <w:rPr>
          <w:rFonts w:asciiTheme="minorHAnsi" w:hAnsiTheme="minorHAnsi" w:cstheme="minorHAnsi"/>
          <w:sz w:val="22"/>
          <w:szCs w:val="22"/>
        </w:rPr>
        <w:t xml:space="preserve">Prema stavku 2. članka 46. </w:t>
      </w:r>
      <w:r w:rsidR="00441E79">
        <w:rPr>
          <w:rFonts w:asciiTheme="minorHAnsi" w:hAnsiTheme="minorHAnsi" w:cstheme="minorHAnsi"/>
          <w:sz w:val="22"/>
          <w:szCs w:val="22"/>
        </w:rPr>
        <w:t>Z</w:t>
      </w:r>
      <w:r w:rsidRPr="0001074D">
        <w:rPr>
          <w:rFonts w:asciiTheme="minorHAnsi" w:hAnsiTheme="minorHAnsi" w:cstheme="minorHAnsi"/>
          <w:sz w:val="22"/>
          <w:szCs w:val="22"/>
        </w:rPr>
        <w:t xml:space="preserve">akona o proračunu, </w:t>
      </w:r>
      <w:r w:rsidR="00441E79" w:rsidRPr="00B208A6">
        <w:rPr>
          <w:rFonts w:asciiTheme="minorHAnsi" w:hAnsiTheme="minorHAnsi" w:cstheme="minorHAnsi"/>
          <w:sz w:val="22"/>
          <w:szCs w:val="22"/>
          <w:u w:val="single"/>
        </w:rPr>
        <w:t>n</w:t>
      </w:r>
      <w:r w:rsidRPr="00B208A6">
        <w:rPr>
          <w:rFonts w:asciiTheme="minorHAnsi" w:hAnsiTheme="minorHAnsi" w:cstheme="minorHAnsi"/>
          <w:sz w:val="22"/>
          <w:szCs w:val="22"/>
          <w:u w:val="single"/>
        </w:rPr>
        <w:t>a postupak donošenja izmjena i dopuna financijskog plana na odgovarajući se način primjenjuju odredbe Zakona</w:t>
      </w:r>
      <w:r w:rsidR="00441E79" w:rsidRPr="00B208A6">
        <w:rPr>
          <w:rFonts w:asciiTheme="minorHAnsi" w:hAnsiTheme="minorHAnsi" w:cstheme="minorHAnsi"/>
          <w:sz w:val="22"/>
          <w:szCs w:val="22"/>
          <w:u w:val="single"/>
        </w:rPr>
        <w:t xml:space="preserve"> o proračunu</w:t>
      </w:r>
      <w:r w:rsidRPr="00B208A6">
        <w:rPr>
          <w:rFonts w:asciiTheme="minorHAnsi" w:hAnsiTheme="minorHAnsi" w:cstheme="minorHAnsi"/>
          <w:sz w:val="22"/>
          <w:szCs w:val="22"/>
          <w:u w:val="single"/>
        </w:rPr>
        <w:t xml:space="preserve"> za postupak donošenja financijskog plana.</w:t>
      </w:r>
    </w:p>
    <w:p w14:paraId="481CA11F" w14:textId="77777777" w:rsidR="00B55BB5" w:rsidRPr="0001074D" w:rsidRDefault="00B55BB5" w:rsidP="0001074D">
      <w:pPr>
        <w:pStyle w:val="StandardWeb"/>
        <w:spacing w:before="0" w:beforeAutospacing="0" w:after="135" w:afterAutospacing="0" w:line="276" w:lineRule="auto"/>
        <w:jc w:val="both"/>
        <w:rPr>
          <w:rFonts w:asciiTheme="minorHAnsi" w:hAnsiTheme="minorHAnsi" w:cstheme="minorHAnsi"/>
          <w:sz w:val="22"/>
          <w:szCs w:val="22"/>
        </w:rPr>
      </w:pPr>
    </w:p>
    <w:p w14:paraId="2417F688" w14:textId="77777777" w:rsidR="00305A01" w:rsidRDefault="00B55BB5" w:rsidP="0001074D">
      <w:pPr>
        <w:jc w:val="both"/>
        <w:rPr>
          <w:rFonts w:eastAsiaTheme="minorEastAsia" w:cstheme="minorHAnsi"/>
          <w:kern w:val="24"/>
        </w:rPr>
      </w:pPr>
      <w:r w:rsidRPr="0001074D">
        <w:rPr>
          <w:rFonts w:cstheme="minorHAnsi"/>
        </w:rPr>
        <w:t>Međutim, prema članku 36. Zakona o ustanovama: „</w:t>
      </w:r>
      <w:r w:rsidR="00305A01" w:rsidRPr="0001074D">
        <w:rPr>
          <w:rFonts w:eastAsiaTheme="minorEastAsia" w:cstheme="minorHAnsi"/>
          <w:kern w:val="24"/>
        </w:rPr>
        <w:t xml:space="preserve">Čl. 36. Upravno vijeće ili drugo kolegijalno tijelo donosi programe rada i razvoja ustanove, nadzire njihovo izvršavanje, </w:t>
      </w:r>
      <w:r w:rsidR="00305A01" w:rsidRPr="00441E79">
        <w:rPr>
          <w:rFonts w:eastAsiaTheme="minorEastAsia" w:cstheme="minorHAnsi"/>
          <w:b/>
          <w:bCs/>
          <w:kern w:val="24"/>
        </w:rPr>
        <w:t>odlučuje o financijskom planu</w:t>
      </w:r>
      <w:r w:rsidR="00305A01" w:rsidRPr="0001074D">
        <w:rPr>
          <w:rFonts w:eastAsiaTheme="minorEastAsia" w:cstheme="minorHAnsi"/>
          <w:kern w:val="24"/>
        </w:rPr>
        <w:t xml:space="preserve"> i godišnjem obračunu, predlaže osnivaču promjenu djelatnosti, daje osnivaču i ravnatelju ustanove prijedloge i mišljenja o pojedinim pitanjima te donosi odluke i obavlja druge poslove određene zakonom, aktom o osnivanju i statutom ustanove.</w:t>
      </w:r>
    </w:p>
    <w:p w14:paraId="781DC67C" w14:textId="2920FCF9" w:rsidR="00B208A6" w:rsidRDefault="00B208A6" w:rsidP="0001074D">
      <w:pPr>
        <w:jc w:val="both"/>
        <w:rPr>
          <w:rFonts w:eastAsiaTheme="minorEastAsia" w:cstheme="minorHAnsi"/>
          <w:kern w:val="24"/>
        </w:rPr>
      </w:pPr>
      <w:r>
        <w:rPr>
          <w:rFonts w:eastAsiaTheme="minorEastAsia" w:cstheme="minorHAnsi"/>
          <w:kern w:val="24"/>
        </w:rPr>
        <w:t>Sukladno navedenom, preporuka je</w:t>
      </w:r>
      <w:r w:rsidR="008F4FBE">
        <w:rPr>
          <w:rFonts w:eastAsiaTheme="minorEastAsia" w:cstheme="minorHAnsi"/>
          <w:kern w:val="24"/>
        </w:rPr>
        <w:t xml:space="preserve"> (savjetnici „Računovodstvo i financije“)</w:t>
      </w:r>
      <w:r>
        <w:rPr>
          <w:rFonts w:eastAsiaTheme="minorEastAsia" w:cstheme="minorHAnsi"/>
          <w:kern w:val="24"/>
        </w:rPr>
        <w:t xml:space="preserve"> zbog odredbe Zakona o </w:t>
      </w:r>
      <w:r w:rsidR="0027661C">
        <w:rPr>
          <w:rFonts w:eastAsiaTheme="minorEastAsia" w:cstheme="minorHAnsi"/>
          <w:kern w:val="24"/>
        </w:rPr>
        <w:t>ustanovama</w:t>
      </w:r>
      <w:r>
        <w:rPr>
          <w:rFonts w:eastAsiaTheme="minorEastAsia" w:cstheme="minorHAnsi"/>
          <w:kern w:val="24"/>
        </w:rPr>
        <w:t xml:space="preserve"> da Upravno vijeće donese odluku da je danom usvajanja proračuna usvojen i financijski plan proračunskog korisnika.</w:t>
      </w:r>
      <w:r w:rsidR="008F4FBE">
        <w:rPr>
          <w:rFonts w:eastAsiaTheme="minorEastAsia" w:cstheme="minorHAnsi"/>
          <w:kern w:val="24"/>
        </w:rPr>
        <w:t xml:space="preserve"> Moguće i u Odluku o usvajanju prijedloga odmah staviti odredbu da ukoliko ne bude razlika u proračunu, prijedlog će se smatrati usvojenim financijskim planom danom usvajanja proračuna. </w:t>
      </w:r>
    </w:p>
    <w:p w14:paraId="50567990" w14:textId="77777777" w:rsidR="0001074D" w:rsidRDefault="0001074D" w:rsidP="0001074D">
      <w:pPr>
        <w:jc w:val="both"/>
        <w:rPr>
          <w:rFonts w:eastAsiaTheme="minorEastAsia" w:cstheme="minorHAnsi"/>
          <w:kern w:val="24"/>
        </w:rPr>
      </w:pPr>
    </w:p>
    <w:p w14:paraId="436514E3" w14:textId="36AB0D54" w:rsidR="0001074D" w:rsidRDefault="0001074D" w:rsidP="0001074D">
      <w:pPr>
        <w:jc w:val="both"/>
        <w:rPr>
          <w:rFonts w:eastAsiaTheme="minorEastAsia" w:cstheme="minorHAnsi"/>
          <w:kern w:val="24"/>
        </w:rPr>
      </w:pPr>
      <w:r>
        <w:rPr>
          <w:rFonts w:eastAsiaTheme="minorEastAsia" w:cstheme="minorHAnsi"/>
          <w:kern w:val="24"/>
        </w:rPr>
        <w:t xml:space="preserve">U Gospiću, </w:t>
      </w:r>
      <w:r w:rsidR="0027661C">
        <w:rPr>
          <w:rFonts w:eastAsiaTheme="minorEastAsia" w:cstheme="minorHAnsi"/>
          <w:kern w:val="24"/>
        </w:rPr>
        <w:t>19</w:t>
      </w:r>
      <w:r w:rsidR="00B316B9">
        <w:rPr>
          <w:rFonts w:eastAsiaTheme="minorEastAsia" w:cstheme="minorHAnsi"/>
          <w:kern w:val="24"/>
        </w:rPr>
        <w:t>.</w:t>
      </w:r>
      <w:r w:rsidR="0027661C">
        <w:rPr>
          <w:rFonts w:eastAsiaTheme="minorEastAsia" w:cstheme="minorHAnsi"/>
          <w:kern w:val="24"/>
        </w:rPr>
        <w:t>12</w:t>
      </w:r>
      <w:r w:rsidR="00B316B9">
        <w:rPr>
          <w:rFonts w:eastAsiaTheme="minorEastAsia" w:cstheme="minorHAnsi"/>
          <w:kern w:val="24"/>
        </w:rPr>
        <w:t>.2025.</w:t>
      </w:r>
    </w:p>
    <w:p w14:paraId="1C44C019" w14:textId="77777777" w:rsidR="0001074D" w:rsidRDefault="0001074D" w:rsidP="0001074D">
      <w:pPr>
        <w:jc w:val="both"/>
        <w:rPr>
          <w:rFonts w:eastAsiaTheme="minorEastAsia" w:cstheme="minorHAnsi"/>
          <w:kern w:val="24"/>
        </w:rPr>
      </w:pPr>
    </w:p>
    <w:p w14:paraId="182C424F" w14:textId="2BA5346A" w:rsidR="0001074D" w:rsidRPr="0001074D" w:rsidRDefault="0001074D" w:rsidP="0001074D">
      <w:pPr>
        <w:jc w:val="both"/>
        <w:rPr>
          <w:rFonts w:cstheme="minorHAnsi"/>
        </w:rPr>
      </w:pPr>
      <w:r>
        <w:rPr>
          <w:rFonts w:eastAsiaTheme="minorEastAsia" w:cstheme="minorHAnsi"/>
          <w:kern w:val="24"/>
        </w:rPr>
        <w:t>Voditelj Službe: Martina Rukavina, mag. oec.</w:t>
      </w:r>
    </w:p>
    <w:p w14:paraId="6B3E105D" w14:textId="46598A39" w:rsidR="00B55BB5" w:rsidRPr="0001074D" w:rsidRDefault="00B55BB5" w:rsidP="00B55BB5">
      <w:pPr>
        <w:pStyle w:val="StandardWeb"/>
        <w:spacing w:before="0" w:beforeAutospacing="0" w:after="135" w:afterAutospacing="0"/>
        <w:rPr>
          <w:rFonts w:asciiTheme="minorHAnsi" w:hAnsiTheme="minorHAnsi" w:cstheme="minorHAnsi"/>
          <w:sz w:val="22"/>
          <w:szCs w:val="22"/>
        </w:rPr>
      </w:pPr>
    </w:p>
    <w:p w14:paraId="34F86661" w14:textId="3B55AF30" w:rsidR="00B55BB5" w:rsidRPr="0001074D" w:rsidRDefault="00B55BB5" w:rsidP="00B55BB5">
      <w:pPr>
        <w:jc w:val="both"/>
        <w:rPr>
          <w:rFonts w:cstheme="minorHAnsi"/>
        </w:rPr>
      </w:pPr>
    </w:p>
    <w:sectPr w:rsidR="00B55BB5" w:rsidRPr="0001074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D27DFB"/>
    <w:multiLevelType w:val="hybridMultilevel"/>
    <w:tmpl w:val="B17A2ED8"/>
    <w:lvl w:ilvl="0" w:tplc="643A6302">
      <w:start w:val="1"/>
      <w:numFmt w:val="bullet"/>
      <w:lvlText w:val="•"/>
      <w:lvlJc w:val="left"/>
      <w:pPr>
        <w:tabs>
          <w:tab w:val="num" w:pos="720"/>
        </w:tabs>
        <w:ind w:left="720" w:hanging="360"/>
      </w:pPr>
      <w:rPr>
        <w:rFonts w:ascii="Arial" w:hAnsi="Arial" w:hint="default"/>
      </w:rPr>
    </w:lvl>
    <w:lvl w:ilvl="1" w:tplc="AD76FF42" w:tentative="1">
      <w:start w:val="1"/>
      <w:numFmt w:val="bullet"/>
      <w:lvlText w:val="•"/>
      <w:lvlJc w:val="left"/>
      <w:pPr>
        <w:tabs>
          <w:tab w:val="num" w:pos="1440"/>
        </w:tabs>
        <w:ind w:left="1440" w:hanging="360"/>
      </w:pPr>
      <w:rPr>
        <w:rFonts w:ascii="Arial" w:hAnsi="Arial" w:hint="default"/>
      </w:rPr>
    </w:lvl>
    <w:lvl w:ilvl="2" w:tplc="5010052C" w:tentative="1">
      <w:start w:val="1"/>
      <w:numFmt w:val="bullet"/>
      <w:lvlText w:val="•"/>
      <w:lvlJc w:val="left"/>
      <w:pPr>
        <w:tabs>
          <w:tab w:val="num" w:pos="2160"/>
        </w:tabs>
        <w:ind w:left="2160" w:hanging="360"/>
      </w:pPr>
      <w:rPr>
        <w:rFonts w:ascii="Arial" w:hAnsi="Arial" w:hint="default"/>
      </w:rPr>
    </w:lvl>
    <w:lvl w:ilvl="3" w:tplc="BA4A2C08" w:tentative="1">
      <w:start w:val="1"/>
      <w:numFmt w:val="bullet"/>
      <w:lvlText w:val="•"/>
      <w:lvlJc w:val="left"/>
      <w:pPr>
        <w:tabs>
          <w:tab w:val="num" w:pos="2880"/>
        </w:tabs>
        <w:ind w:left="2880" w:hanging="360"/>
      </w:pPr>
      <w:rPr>
        <w:rFonts w:ascii="Arial" w:hAnsi="Arial" w:hint="default"/>
      </w:rPr>
    </w:lvl>
    <w:lvl w:ilvl="4" w:tplc="B88A2090" w:tentative="1">
      <w:start w:val="1"/>
      <w:numFmt w:val="bullet"/>
      <w:lvlText w:val="•"/>
      <w:lvlJc w:val="left"/>
      <w:pPr>
        <w:tabs>
          <w:tab w:val="num" w:pos="3600"/>
        </w:tabs>
        <w:ind w:left="3600" w:hanging="360"/>
      </w:pPr>
      <w:rPr>
        <w:rFonts w:ascii="Arial" w:hAnsi="Arial" w:hint="default"/>
      </w:rPr>
    </w:lvl>
    <w:lvl w:ilvl="5" w:tplc="91D8710E" w:tentative="1">
      <w:start w:val="1"/>
      <w:numFmt w:val="bullet"/>
      <w:lvlText w:val="•"/>
      <w:lvlJc w:val="left"/>
      <w:pPr>
        <w:tabs>
          <w:tab w:val="num" w:pos="4320"/>
        </w:tabs>
        <w:ind w:left="4320" w:hanging="360"/>
      </w:pPr>
      <w:rPr>
        <w:rFonts w:ascii="Arial" w:hAnsi="Arial" w:hint="default"/>
      </w:rPr>
    </w:lvl>
    <w:lvl w:ilvl="6" w:tplc="919A2BBA" w:tentative="1">
      <w:start w:val="1"/>
      <w:numFmt w:val="bullet"/>
      <w:lvlText w:val="•"/>
      <w:lvlJc w:val="left"/>
      <w:pPr>
        <w:tabs>
          <w:tab w:val="num" w:pos="5040"/>
        </w:tabs>
        <w:ind w:left="5040" w:hanging="360"/>
      </w:pPr>
      <w:rPr>
        <w:rFonts w:ascii="Arial" w:hAnsi="Arial" w:hint="default"/>
      </w:rPr>
    </w:lvl>
    <w:lvl w:ilvl="7" w:tplc="F1DE78E2" w:tentative="1">
      <w:start w:val="1"/>
      <w:numFmt w:val="bullet"/>
      <w:lvlText w:val="•"/>
      <w:lvlJc w:val="left"/>
      <w:pPr>
        <w:tabs>
          <w:tab w:val="num" w:pos="5760"/>
        </w:tabs>
        <w:ind w:left="5760" w:hanging="360"/>
      </w:pPr>
      <w:rPr>
        <w:rFonts w:ascii="Arial" w:hAnsi="Arial" w:hint="default"/>
      </w:rPr>
    </w:lvl>
    <w:lvl w:ilvl="8" w:tplc="0052C954" w:tentative="1">
      <w:start w:val="1"/>
      <w:numFmt w:val="bullet"/>
      <w:lvlText w:val="•"/>
      <w:lvlJc w:val="left"/>
      <w:pPr>
        <w:tabs>
          <w:tab w:val="num" w:pos="6480"/>
        </w:tabs>
        <w:ind w:left="6480" w:hanging="360"/>
      </w:pPr>
      <w:rPr>
        <w:rFonts w:ascii="Arial" w:hAnsi="Arial" w:hint="default"/>
      </w:rPr>
    </w:lvl>
  </w:abstractNum>
  <w:num w:numId="1" w16cid:durableId="685131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0"/>
  </w:compat>
  <w:rsids>
    <w:rsidRoot w:val="00CB1405"/>
    <w:rsid w:val="0001074D"/>
    <w:rsid w:val="0027661C"/>
    <w:rsid w:val="00291112"/>
    <w:rsid w:val="00305A01"/>
    <w:rsid w:val="00441E79"/>
    <w:rsid w:val="005A3BEA"/>
    <w:rsid w:val="0065324E"/>
    <w:rsid w:val="008F4FBE"/>
    <w:rsid w:val="00A15B32"/>
    <w:rsid w:val="00B208A6"/>
    <w:rsid w:val="00B30FBC"/>
    <w:rsid w:val="00B316B9"/>
    <w:rsid w:val="00B55BB5"/>
    <w:rsid w:val="00CB1405"/>
    <w:rsid w:val="00E82517"/>
    <w:rsid w:val="00F3478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F37A1"/>
  <w15:chartTrackingRefBased/>
  <w15:docId w15:val="{D2C52069-F4CC-4D26-9990-6339FD9C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StandardWeb">
    <w:name w:val="Normal (Web)"/>
    <w:basedOn w:val="Normal"/>
    <w:uiPriority w:val="99"/>
    <w:semiHidden/>
    <w:unhideWhenUsed/>
    <w:rsid w:val="00B55BB5"/>
    <w:pPr>
      <w:spacing w:before="100" w:beforeAutospacing="1" w:after="100" w:afterAutospacing="1" w:line="240" w:lineRule="auto"/>
    </w:pPr>
    <w:rPr>
      <w:rFonts w:ascii="Times New Roman" w:eastAsia="Times New Roman" w:hAnsi="Times New Roman" w:cs="Times New Roman"/>
      <w:kern w:val="0"/>
      <w:sz w:val="24"/>
      <w:szCs w:val="24"/>
      <w:lang w:eastAsia="hr-HR"/>
    </w:rPr>
  </w:style>
  <w:style w:type="paragraph" w:styleId="Odlomakpopisa">
    <w:name w:val="List Paragraph"/>
    <w:basedOn w:val="Normal"/>
    <w:uiPriority w:val="34"/>
    <w:qFormat/>
    <w:rsid w:val="00305A01"/>
    <w:pPr>
      <w:spacing w:after="0" w:line="240" w:lineRule="auto"/>
      <w:ind w:left="720"/>
      <w:contextualSpacing/>
    </w:pPr>
    <w:rPr>
      <w:rFonts w:ascii="Times New Roman" w:eastAsia="Times New Roman" w:hAnsi="Times New Roman" w:cs="Times New Roman"/>
      <w:kern w:val="0"/>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611142">
      <w:bodyDiv w:val="1"/>
      <w:marLeft w:val="0"/>
      <w:marRight w:val="0"/>
      <w:marTop w:val="0"/>
      <w:marBottom w:val="0"/>
      <w:divBdr>
        <w:top w:val="none" w:sz="0" w:space="0" w:color="auto"/>
        <w:left w:val="none" w:sz="0" w:space="0" w:color="auto"/>
        <w:bottom w:val="none" w:sz="0" w:space="0" w:color="auto"/>
        <w:right w:val="none" w:sz="0" w:space="0" w:color="auto"/>
      </w:divBdr>
      <w:divsChild>
        <w:div w:id="272902988">
          <w:marLeft w:val="288"/>
          <w:marRight w:val="0"/>
          <w:marTop w:val="115"/>
          <w:marBottom w:val="0"/>
          <w:divBdr>
            <w:top w:val="none" w:sz="0" w:space="0" w:color="auto"/>
            <w:left w:val="none" w:sz="0" w:space="0" w:color="auto"/>
            <w:bottom w:val="none" w:sz="0" w:space="0" w:color="auto"/>
            <w:right w:val="none" w:sz="0" w:space="0" w:color="auto"/>
          </w:divBdr>
        </w:div>
      </w:divsChild>
    </w:div>
    <w:div w:id="61513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330</Words>
  <Characters>1885</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Korisnik</cp:lastModifiedBy>
  <cp:revision>9</cp:revision>
  <cp:lastPrinted>2024-12-27T11:20:00Z</cp:lastPrinted>
  <dcterms:created xsi:type="dcterms:W3CDTF">2024-12-27T09:27:00Z</dcterms:created>
  <dcterms:modified xsi:type="dcterms:W3CDTF">2025-12-19T07:23:00Z</dcterms:modified>
</cp:coreProperties>
</file>